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0D24E614" w:rsidR="00C856B8" w:rsidRPr="00C774F8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C774F8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C774F8" w:rsidRPr="00C774F8">
        <w:rPr>
          <w:rFonts w:eastAsia="Arial"/>
          <w:b/>
          <w:color w:val="000000" w:themeColor="text1"/>
          <w:sz w:val="22"/>
          <w:szCs w:val="22"/>
        </w:rPr>
        <w:t>GEOGRAFIA</w:t>
      </w:r>
      <w:r w:rsidRPr="00C774F8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40167A">
        <w:rPr>
          <w:rFonts w:eastAsia="Arial"/>
          <w:b/>
          <w:color w:val="000000" w:themeColor="text1"/>
          <w:sz w:val="22"/>
          <w:szCs w:val="22"/>
        </w:rPr>
        <w:t>5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503140A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ORIENTAMENTO </w:t>
            </w:r>
          </w:p>
        </w:tc>
        <w:tc>
          <w:tcPr>
            <w:tcW w:w="11907" w:type="dxa"/>
          </w:tcPr>
          <w:p w14:paraId="17868256" w14:textId="1D299CD2" w:rsidR="003E5EA0" w:rsidRPr="005365B7" w:rsidRDefault="003E5EA0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si orienta nello spazio circostante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e sulle carte geograf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che,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utilizzando riferimenti topologici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e punti cardinali;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6F4826E4" w:rsidR="003E5EA0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="007303AA">
              <w:rPr>
                <w:rFonts w:eastAsia="Arial"/>
                <w:b/>
                <w:color w:val="000000"/>
                <w:sz w:val="22"/>
                <w:szCs w:val="22"/>
              </w:rPr>
              <w:br/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GEO-GRAFICITÀ </w:t>
            </w:r>
          </w:p>
        </w:tc>
        <w:tc>
          <w:tcPr>
            <w:tcW w:w="11907" w:type="dxa"/>
          </w:tcPr>
          <w:p w14:paraId="12FD2B71" w14:textId="2A2C5BBA" w:rsidR="003E5EA0" w:rsidRPr="00C774F8" w:rsidRDefault="003E5EA0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utilizza il linguaggio della geo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graf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cità</w:t>
            </w:r>
            <w:proofErr w:type="spellEnd"/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per interpretare carte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geograf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che e globo terrestre,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realizzare semplici schizzi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cartograf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ci e carte tematiche,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progettare percorsi e itinerari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di viaggio;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41B71E07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PAESAGGIO</w:t>
            </w:r>
          </w:p>
        </w:tc>
        <w:tc>
          <w:tcPr>
            <w:tcW w:w="11907" w:type="dxa"/>
          </w:tcPr>
          <w:p w14:paraId="75C306ED" w14:textId="0B8271B6" w:rsidR="002C7A9B" w:rsidRPr="002C7A9B" w:rsidRDefault="003E5EA0" w:rsidP="002C7A9B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ricava informazioni geograf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che da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una pluralità di fonti (cartograf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che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e satellitari, tecnologie digitali,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fotograf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che, artistico-letterarie);</w:t>
            </w:r>
          </w:p>
          <w:p w14:paraId="4410F487" w14:textId="041FFB39" w:rsidR="002C7A9B" w:rsidRPr="002C7A9B" w:rsidRDefault="002C7A9B" w:rsidP="002C7A9B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• riconosce e denomina i principali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“oggetti” geograf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ci 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sici (fumi,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monti, pianure, coste, colline,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laghi, mari, oceani ecc.);</w:t>
            </w:r>
          </w:p>
          <w:p w14:paraId="3E435BE7" w14:textId="6E2463D8" w:rsidR="002C7A9B" w:rsidRPr="002C7A9B" w:rsidRDefault="002C7A9B" w:rsidP="002C7A9B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• individua i caratteri che connotano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i paesaggi (di montagna, collina,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pianura, vulcanici ecc.) con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particolare attenzione a quelli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italiani, e individua analogie 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differenze con i principali paesaggi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europei e di altri continenti;</w:t>
            </w:r>
          </w:p>
          <w:p w14:paraId="037BB17C" w14:textId="2AB2AECD" w:rsidR="003E5EA0" w:rsidRPr="00C774F8" w:rsidRDefault="002C7A9B" w:rsidP="003C0412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• coglie nei paesaggi mondiali della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storia le progressive trasformazioni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operate dall’uomo sul paesaggio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C7A9B">
              <w:rPr>
                <w:rFonts w:eastAsia="Arial"/>
                <w:bCs/>
                <w:color w:val="000000"/>
                <w:sz w:val="22"/>
                <w:szCs w:val="22"/>
              </w:rPr>
              <w:t>naturale;</w:t>
            </w:r>
          </w:p>
        </w:tc>
      </w:tr>
      <w:tr w:rsidR="00C774F8" w14:paraId="1F8B9A24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579A33A0" w14:textId="683A5EC5" w:rsidR="00C774F8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  <w:tc>
          <w:tcPr>
            <w:tcW w:w="11907" w:type="dxa"/>
          </w:tcPr>
          <w:p w14:paraId="51BB7530" w14:textId="7C2F4D25" w:rsidR="00C774F8" w:rsidRPr="003223DD" w:rsidRDefault="00C774F8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si rende conto che lo spazio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geograf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co è un sistema territoriale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costituito da elementi f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sici e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antropici legati da rapporti di</w:t>
            </w:r>
            <w:r w:rsidR="002C7A9B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C7A9B" w:rsidRPr="002C7A9B">
              <w:rPr>
                <w:rFonts w:eastAsia="Arial"/>
                <w:bCs/>
                <w:color w:val="000000"/>
                <w:sz w:val="22"/>
                <w:szCs w:val="22"/>
              </w:rPr>
              <w:t>connessione e/o interdipendenza.</w:t>
            </w:r>
          </w:p>
        </w:tc>
      </w:tr>
    </w:tbl>
    <w:p w14:paraId="6C2DF34D" w14:textId="77777777" w:rsidR="00703588" w:rsidRDefault="00703588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6667249" w14:textId="77777777" w:rsidR="00FD4D4C" w:rsidRPr="008D6F70" w:rsidRDefault="00FD4D4C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C774F8" w:rsidRPr="008D6F70" w14:paraId="44F7A692" w14:textId="77777777" w:rsidTr="00E20F0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7230159" w14:textId="33EAA15C" w:rsidR="00C774F8" w:rsidRPr="003223DD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ORIENTAMENTO</w:t>
            </w:r>
          </w:p>
        </w:tc>
      </w:tr>
      <w:tr w:rsidR="00C774F8" w:rsidRPr="008D6F70" w14:paraId="5E9F9232" w14:textId="77777777" w:rsidTr="00E20F06">
        <w:tc>
          <w:tcPr>
            <w:tcW w:w="9498" w:type="dxa"/>
          </w:tcPr>
          <w:p w14:paraId="6BBE16D0" w14:textId="77777777" w:rsidR="00C774F8" w:rsidRPr="00DE4E5E" w:rsidRDefault="00C774F8" w:rsidP="00E20F06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767E195A" w14:textId="77777777" w:rsidR="00C774F8" w:rsidRPr="00DE4E5E" w:rsidRDefault="00C774F8" w:rsidP="00E20F0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C774F8" w:rsidRPr="008D6F70" w14:paraId="3375DC64" w14:textId="77777777" w:rsidTr="00E20F06">
        <w:tc>
          <w:tcPr>
            <w:tcW w:w="9498" w:type="dxa"/>
          </w:tcPr>
          <w:p w14:paraId="0183B433" w14:textId="409051ED" w:rsidR="004336D3" w:rsidRPr="004336D3" w:rsidRDefault="00C774F8" w:rsidP="004336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Consolidare l’orientamento nello</w:t>
            </w:r>
            <w:r w:rsidR="004336D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spazio e sulla carta geograf</w:t>
            </w:r>
            <w:r w:rsidR="004336D3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ca</w:t>
            </w:r>
            <w:r w:rsidR="004336D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utilizzando i punti cardinali.</w:t>
            </w:r>
          </w:p>
          <w:p w14:paraId="17669D2F" w14:textId="51CE30D1" w:rsidR="004336D3" w:rsidRPr="004336D3" w:rsidRDefault="004336D3" w:rsidP="004336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• Consolidare la carta mentale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dell’Italia con la posizione delle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diverse regioni amministrative.</w:t>
            </w:r>
          </w:p>
          <w:p w14:paraId="018B6FE6" w14:textId="069C0782" w:rsidR="00C774F8" w:rsidRPr="008D6F70" w:rsidRDefault="004336D3" w:rsidP="004336D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• Costruirsi e/o consolidare la carta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mentale dell’Italia nel bacino del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Mediterraneo, in Europa e nel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Mondo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244" w:type="dxa"/>
          </w:tcPr>
          <w:p w14:paraId="64190BAA" w14:textId="25CAEA0E" w:rsidR="004336D3" w:rsidRPr="004336D3" w:rsidRDefault="00C774F8" w:rsidP="004336D3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Orientamento</w:t>
            </w:r>
            <w:r w:rsid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attraverso i punti</w:t>
            </w:r>
            <w:r w:rsid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cardinali nello</w:t>
            </w:r>
            <w:r w:rsid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spazio e sulle</w:t>
            </w:r>
            <w:r w:rsid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carte geograf</w:t>
            </w:r>
            <w:r w:rsid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che</w:t>
            </w:r>
          </w:p>
          <w:p w14:paraId="6CEFD847" w14:textId="630564E8" w:rsidR="004336D3" w:rsidRPr="004336D3" w:rsidRDefault="004336D3" w:rsidP="004336D3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Reticolato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g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eograf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coordinate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(meridiani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paralleli,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latitudine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longitudine)</w:t>
            </w:r>
          </w:p>
          <w:p w14:paraId="379B9932" w14:textId="13BF9565" w:rsidR="004336D3" w:rsidRPr="004336D3" w:rsidRDefault="004336D3" w:rsidP="004336D3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Carta mentale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dell’Italia</w:t>
            </w:r>
          </w:p>
          <w:p w14:paraId="5AE23771" w14:textId="059029EF" w:rsidR="00C774F8" w:rsidRPr="00C774F8" w:rsidRDefault="004336D3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Carta mentale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dell’Italia e della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sua posizione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nel bacino del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Mediterraneo,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 Europa e nel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Mondo</w:t>
            </w:r>
          </w:p>
        </w:tc>
      </w:tr>
      <w:tr w:rsidR="00C774F8" w:rsidRPr="008D6F70" w14:paraId="7D50EA34" w14:textId="77777777" w:rsidTr="00E20F06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1127CF7" w14:textId="77777777" w:rsidR="00C774F8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7F77503A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GEO-GRAFICITÀ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7752B24F" w14:textId="3EB238A9" w:rsidR="004336D3" w:rsidRPr="004336D3" w:rsidRDefault="00DE4E5E" w:rsidP="004336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Interpretare carte geograf</w:t>
            </w:r>
            <w:r w:rsidR="004336D3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che, globo</w:t>
            </w:r>
            <w:r w:rsidR="004336D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geograf</w:t>
            </w:r>
            <w:r w:rsidR="004336D3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co, documenti iconici e dat</w:t>
            </w:r>
            <w:r w:rsidR="004336D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 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statistici per analizzare fenomeni</w:t>
            </w:r>
            <w:r w:rsidR="004336D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e problemi dell’Italia in prospettiva</w:t>
            </w:r>
            <w:r w:rsidR="004336D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4336D3"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europea e mondiale.</w:t>
            </w:r>
          </w:p>
          <w:p w14:paraId="2ADB9780" w14:textId="1B9FA33C" w:rsidR="004336D3" w:rsidRPr="004336D3" w:rsidRDefault="004336D3" w:rsidP="004336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• Costruire schizzi cartograf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ci di spazi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noti.</w:t>
            </w:r>
          </w:p>
          <w:p w14:paraId="181DA10C" w14:textId="193B3CEE" w:rsidR="004336D3" w:rsidRPr="004336D3" w:rsidRDefault="004336D3" w:rsidP="004336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Interpretare e/o costruire carte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tematiche inerenti a fenomeni 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sici,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socio-economici</w:t>
            </w:r>
            <w:proofErr w:type="gramEnd"/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e culturali relativi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all’Italia (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per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esempio: carta tematica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dell’idrografa, della distribuzione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di alcuni prodotti agricoli o delle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industrie, delle vie di comunicazione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ecc.).</w:t>
            </w:r>
          </w:p>
          <w:p w14:paraId="6F846755" w14:textId="1D015628" w:rsidR="004336D3" w:rsidRPr="004336D3" w:rsidRDefault="004336D3" w:rsidP="004336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• Applicare le competenze acquisite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per progettare sulle carte geograf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percorsi e itinerari di viaggio.</w:t>
            </w:r>
          </w:p>
          <w:p w14:paraId="22FCFACB" w14:textId="6880068F" w:rsidR="00DE4E5E" w:rsidRPr="008D6F70" w:rsidRDefault="004336D3" w:rsidP="004336D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• Arricchire il linguaggio specif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co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consultando e/o costruendo un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glossario di termini geograf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4336D3">
              <w:rPr>
                <w:rStyle w:val="normaltextrun"/>
                <w:rFonts w:ascii="Calibri" w:hAnsi="Calibri" w:cs="Calibri"/>
                <w:sz w:val="22"/>
                <w:szCs w:val="22"/>
              </w:rPr>
              <w:t>ci.</w:t>
            </w:r>
          </w:p>
        </w:tc>
        <w:tc>
          <w:tcPr>
            <w:tcW w:w="5244" w:type="dxa"/>
          </w:tcPr>
          <w:p w14:paraId="727901DE" w14:textId="651F15B9" w:rsidR="004336D3" w:rsidRPr="004336D3" w:rsidRDefault="001C626F" w:rsidP="004336D3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Carte</w:t>
            </w:r>
            <w:r w:rsid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geograf</w:t>
            </w:r>
            <w:r w:rsid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che</w:t>
            </w:r>
            <w:r w:rsid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336D3"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 diversa</w:t>
            </w:r>
          </w:p>
          <w:p w14:paraId="20B724E8" w14:textId="53E23622" w:rsidR="004336D3" w:rsidRPr="004336D3" w:rsidRDefault="004336D3" w:rsidP="004336D3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scala (f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no alla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piccolissima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scala del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planisfero),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immagini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fotograf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che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 satellite, dati</w:t>
            </w:r>
            <w:r w:rsidR="00FD4D4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statistici per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l’analisi dell’Italia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nel contesto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europeo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mondiale</w:t>
            </w:r>
          </w:p>
          <w:p w14:paraId="2D0FA41C" w14:textId="77777777" w:rsidR="004336D3" w:rsidRPr="004336D3" w:rsidRDefault="004336D3" w:rsidP="004336D3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>• Carte tematiche</w:t>
            </w:r>
          </w:p>
          <w:p w14:paraId="18B68776" w14:textId="098DB096" w:rsidR="00DE4E5E" w:rsidRPr="003C0412" w:rsidRDefault="004336D3" w:rsidP="001C62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Linguaggio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specif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 della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336D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Geografa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3368AC0B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PAESAGGIO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146A2D9E" w14:textId="44D60CDD" w:rsidR="007F36D8" w:rsidRPr="007F36D8" w:rsidRDefault="00DE4E5E" w:rsidP="007F36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Conoscere, descrivere e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interpretare i caratteri che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connotano i paesaggi d’Italia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attraverso una pluralità di fonti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diversif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cate.</w:t>
            </w:r>
          </w:p>
          <w:p w14:paraId="68EBE4B8" w14:textId="08572F6E" w:rsidR="007F36D8" w:rsidRPr="007F36D8" w:rsidRDefault="007F36D8" w:rsidP="007F36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gli effetti delle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attività economiche sulle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trasformazioni del paesaggio.</w:t>
            </w:r>
          </w:p>
          <w:p w14:paraId="2C609F3F" w14:textId="2A330EC8" w:rsidR="007F36D8" w:rsidRPr="007F36D8" w:rsidRDefault="007F36D8" w:rsidP="007F36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• Confrontare alcuni tra 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principali paesaggi italiani con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gli omologhi paesaggi europei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mondiali per cogliere analogie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differenze.</w:t>
            </w:r>
          </w:p>
          <w:p w14:paraId="7DCE2D81" w14:textId="4C95C2FD" w:rsidR="00DE4E5E" w:rsidRPr="008D6F70" w:rsidRDefault="007F36D8" w:rsidP="007F36D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• Indagare le principali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problematiche ambientali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dell’Italia, dell’Europa e del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Mondo.</w:t>
            </w:r>
          </w:p>
        </w:tc>
        <w:tc>
          <w:tcPr>
            <w:tcW w:w="5244" w:type="dxa"/>
          </w:tcPr>
          <w:p w14:paraId="0196F637" w14:textId="769C4B1D" w:rsidR="007F36D8" w:rsidRPr="007F36D8" w:rsidRDefault="00DE4E5E" w:rsidP="007F36D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Elementi f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sici e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antropici dei paesaggi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italiani, intesi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come patrimonio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 valorizzare e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salvaguardare</w:t>
            </w:r>
          </w:p>
          <w:p w14:paraId="1E6F5BBF" w14:textId="1B0B8E0C" w:rsidR="007F36D8" w:rsidRPr="007F36D8" w:rsidRDefault="007F36D8" w:rsidP="007F36D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Ruolo delle attività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economiche e segni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della presenza di etnie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culture diverse nel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paesaggio e nella sua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trasformazione</w:t>
            </w:r>
          </w:p>
          <w:p w14:paraId="4C1ABED8" w14:textId="6EF318F9" w:rsidR="007F36D8" w:rsidRPr="007F36D8" w:rsidRDefault="007F36D8" w:rsidP="007F36D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Alcuni tra i principali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paesaggi italiani 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confronto con quelli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europei e mondiali</w:t>
            </w:r>
          </w:p>
          <w:p w14:paraId="4E722F4E" w14:textId="04C8CCE7" w:rsidR="007F36D8" w:rsidRPr="007F36D8" w:rsidRDefault="007F36D8" w:rsidP="007F36D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Quadri paesaggistico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-</w:t>
            </w:r>
            <w:proofErr w:type="gramStart"/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ambientali</w:t>
            </w:r>
            <w:proofErr w:type="gram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antiche società dei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Greci, degli Etruschi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dei Romani</w:t>
            </w:r>
          </w:p>
          <w:p w14:paraId="2B3E3BCA" w14:textId="4C828E8B" w:rsidR="00DE4E5E" w:rsidRPr="00DE4E5E" w:rsidRDefault="007F36D8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Temi e problemi di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valorizzazione dei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paesaggi a scala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locale e globale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5F43B24D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7F36D8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29608CEE" w14:textId="145982FC" w:rsidR="007F36D8" w:rsidRPr="007F36D8" w:rsidRDefault="00DE4E5E" w:rsidP="007F36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Riconoscere le regioni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amministrative d’Italia nei loro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essenziali tratti morfologici,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economici, storici, sociali,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linguistici (recupero di elementi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della dialettofonia), artistico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architettonici</w:t>
            </w:r>
            <w:r w:rsidR="007F36D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F36D8"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ecc.</w:t>
            </w:r>
          </w:p>
          <w:p w14:paraId="2AF7156A" w14:textId="300D0E02" w:rsidR="00DE4E5E" w:rsidRPr="008D6F70" w:rsidRDefault="007F36D8" w:rsidP="007F36D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• Analizzare i rapporti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connessione e/o interdipendenza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tra elementi 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sici e antropici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del sistema territoriale italiano,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inserito nel contesto dell’Europa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F36D8">
              <w:rPr>
                <w:rStyle w:val="normaltextrun"/>
                <w:rFonts w:ascii="Calibri" w:hAnsi="Calibri" w:cs="Calibri"/>
                <w:sz w:val="22"/>
                <w:szCs w:val="22"/>
              </w:rPr>
              <w:t>e del Mondo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244" w:type="dxa"/>
          </w:tcPr>
          <w:p w14:paraId="631907DF" w14:textId="4B2C2AA7" w:rsidR="007F36D8" w:rsidRPr="007F36D8" w:rsidRDefault="00DE4E5E" w:rsidP="007F36D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Regioni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a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mministrative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d’Italia: principali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caratteristiche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morfologiche,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economiche,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storiche, sociali,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artistico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architettoniche</w:t>
            </w:r>
            <w:r w:rsid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F36D8"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ecc.</w:t>
            </w:r>
          </w:p>
          <w:p w14:paraId="537C0E3A" w14:textId="09728194" w:rsidR="00DE4E5E" w:rsidRPr="00DE4E5E" w:rsidRDefault="007F36D8" w:rsidP="001C62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L’Italia come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Sistema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territoriale nel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contesto europeo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F36D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mondiale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16FF4" w14:textId="77777777" w:rsidR="00E76247" w:rsidRDefault="00E76247">
      <w:r>
        <w:separator/>
      </w:r>
    </w:p>
  </w:endnote>
  <w:endnote w:type="continuationSeparator" w:id="0">
    <w:p w14:paraId="12029FFA" w14:textId="77777777"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94F5A" w14:textId="77777777" w:rsidR="00E76247" w:rsidRDefault="00E76247">
      <w:r>
        <w:separator/>
      </w:r>
    </w:p>
  </w:footnote>
  <w:footnote w:type="continuationSeparator" w:id="0">
    <w:p w14:paraId="0A7E4962" w14:textId="77777777" w:rsidR="00E76247" w:rsidRDefault="00E76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C626F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A7010"/>
    <w:rsid w:val="002B14B8"/>
    <w:rsid w:val="002B1CE9"/>
    <w:rsid w:val="002B78BA"/>
    <w:rsid w:val="002C2974"/>
    <w:rsid w:val="002C7A9B"/>
    <w:rsid w:val="002D5BEF"/>
    <w:rsid w:val="002E6E43"/>
    <w:rsid w:val="002F1AE0"/>
    <w:rsid w:val="002F432F"/>
    <w:rsid w:val="003039D1"/>
    <w:rsid w:val="0031480C"/>
    <w:rsid w:val="00315AE8"/>
    <w:rsid w:val="00323C76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0412"/>
    <w:rsid w:val="003C67AA"/>
    <w:rsid w:val="003E5EA0"/>
    <w:rsid w:val="003E6559"/>
    <w:rsid w:val="003F711E"/>
    <w:rsid w:val="003F79B8"/>
    <w:rsid w:val="0040167A"/>
    <w:rsid w:val="004041C4"/>
    <w:rsid w:val="004163EB"/>
    <w:rsid w:val="0042737F"/>
    <w:rsid w:val="004336D3"/>
    <w:rsid w:val="00436C22"/>
    <w:rsid w:val="00437C93"/>
    <w:rsid w:val="0044367A"/>
    <w:rsid w:val="00453F64"/>
    <w:rsid w:val="004547A4"/>
    <w:rsid w:val="004549FE"/>
    <w:rsid w:val="00455AD2"/>
    <w:rsid w:val="00457A8E"/>
    <w:rsid w:val="00482B07"/>
    <w:rsid w:val="00485180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1A32"/>
    <w:rsid w:val="00553DFD"/>
    <w:rsid w:val="00554E3F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B1B16"/>
    <w:rsid w:val="006C5FD8"/>
    <w:rsid w:val="006D0098"/>
    <w:rsid w:val="006D1731"/>
    <w:rsid w:val="006E175D"/>
    <w:rsid w:val="00700F80"/>
    <w:rsid w:val="00703588"/>
    <w:rsid w:val="00705CBB"/>
    <w:rsid w:val="00707E1B"/>
    <w:rsid w:val="0071249D"/>
    <w:rsid w:val="00717F62"/>
    <w:rsid w:val="007216E7"/>
    <w:rsid w:val="0072188C"/>
    <w:rsid w:val="007303AA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83B95"/>
    <w:rsid w:val="0079273C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36D8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21E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07E6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4F8"/>
    <w:rsid w:val="00C77808"/>
    <w:rsid w:val="00C77873"/>
    <w:rsid w:val="00C83DD6"/>
    <w:rsid w:val="00C856B8"/>
    <w:rsid w:val="00CC2467"/>
    <w:rsid w:val="00CD1FEF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0353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76247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13B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337F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D4D4C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57</cp:revision>
  <cp:lastPrinted>2025-05-26T09:04:00Z</cp:lastPrinted>
  <dcterms:created xsi:type="dcterms:W3CDTF">2024-06-19T08:41:00Z</dcterms:created>
  <dcterms:modified xsi:type="dcterms:W3CDTF">2025-05-26T09:04:00Z</dcterms:modified>
</cp:coreProperties>
</file>